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50" w:rsidRPr="00417450" w:rsidRDefault="00417450" w:rsidP="00417450">
      <w:pPr>
        <w:tabs>
          <w:tab w:val="center" w:pos="4153"/>
        </w:tabs>
        <w:spacing w:line="360" w:lineRule="auto"/>
        <w:rPr>
          <w:rFonts w:ascii="黑体" w:eastAsia="黑体" w:hAnsi="黑体"/>
          <w:sz w:val="32"/>
          <w:szCs w:val="32"/>
        </w:rPr>
      </w:pPr>
      <w:r w:rsidRPr="00417450">
        <w:rPr>
          <w:rFonts w:ascii="黑体" w:eastAsia="黑体" w:hAnsi="黑体" w:hint="eastAsia"/>
          <w:sz w:val="32"/>
          <w:szCs w:val="32"/>
        </w:rPr>
        <w:t>附件：</w:t>
      </w:r>
    </w:p>
    <w:p w:rsidR="00417450" w:rsidRDefault="00746F1F">
      <w:pPr>
        <w:tabs>
          <w:tab w:val="center" w:pos="4153"/>
        </w:tabs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2016年天津市新材料</w:t>
      </w:r>
    </w:p>
    <w:p w:rsidR="009551EB" w:rsidRDefault="00746F1F">
      <w:pPr>
        <w:tabs>
          <w:tab w:val="center" w:pos="4153"/>
        </w:tabs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科技重大专项项目申报指南</w:t>
      </w:r>
    </w:p>
    <w:p w:rsidR="009551EB" w:rsidRPr="00417450" w:rsidRDefault="009551EB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为深入贯彻《深化中央财政科技计划（专项、基金等）管理改革方案》（国发〔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64</w:t>
      </w:r>
      <w:r>
        <w:rPr>
          <w:rFonts w:ascii="Times New Roman" w:eastAsia="仿宋_GB2312" w:hAnsi="Times New Roman" w:cs="Times New Roman"/>
          <w:sz w:val="32"/>
          <w:szCs w:val="32"/>
        </w:rPr>
        <w:t>号）的有关精神，切实推进</w:t>
      </w:r>
      <w:r w:rsidR="002B3E86">
        <w:rPr>
          <w:rFonts w:ascii="Times New Roman" w:eastAsia="仿宋_GB2312" w:hAnsi="Times New Roman" w:cs="Times New Roman" w:hint="eastAsia"/>
          <w:sz w:val="32"/>
          <w:szCs w:val="32"/>
        </w:rPr>
        <w:t>《中国制造</w:t>
      </w:r>
      <w:bookmarkStart w:id="0" w:name="_GoBack"/>
      <w:bookmarkEnd w:id="0"/>
      <w:r w:rsidR="002B3E86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="002B3E86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（国发〔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号）、《工业和信息化部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发展改革委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科技部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财政部关于加快新材料产业创新发展的指导意见》（工信部联原〔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54</w:t>
      </w:r>
      <w:r w:rsidR="008B4B16" w:rsidRPr="008B4B16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>
        <w:rPr>
          <w:rFonts w:ascii="Times New Roman" w:eastAsia="仿宋_GB2312" w:hAnsi="Times New Roman" w:cs="Times New Roman"/>
          <w:sz w:val="32"/>
          <w:szCs w:val="32"/>
        </w:rPr>
        <w:t>的落实，市科委启动实施新材料科技重大专项。重点支持方向如下：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方向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黑体" w:hAnsi="Times New Roman" w:cs="Times New Roman"/>
          <w:sz w:val="32"/>
          <w:szCs w:val="32"/>
        </w:rPr>
        <w:t>：先进碳材料</w:t>
      </w: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石墨烯及复合材料</w:t>
      </w: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1.1</w:t>
      </w:r>
      <w:r>
        <w:rPr>
          <w:rFonts w:ascii="Times New Roman" w:eastAsia="仿宋_GB2312" w:hAnsi="Times New Roman" w:cs="Times New Roman"/>
          <w:sz w:val="32"/>
          <w:szCs w:val="32"/>
        </w:rPr>
        <w:t>重点开发应用于柔性、可穿戴电子设备等领域的石墨烯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金属复合材料，制备出高安全性、长寿命、高能量密度和功率密度的柔性超级电容器；</w:t>
      </w: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1.2</w:t>
      </w:r>
      <w:r>
        <w:rPr>
          <w:rFonts w:ascii="Times New Roman" w:eastAsia="仿宋_GB2312" w:hAnsi="Times New Roman" w:cs="Times New Roman"/>
          <w:sz w:val="32"/>
          <w:szCs w:val="32"/>
        </w:rPr>
        <w:t>开发用于集成电路引线框架的石墨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增强高强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高导铜基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复合材料；</w:t>
      </w: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1.3</w:t>
      </w:r>
      <w:r>
        <w:rPr>
          <w:rFonts w:ascii="Times New Roman" w:eastAsia="仿宋_GB2312" w:hAnsi="Times New Roman" w:cs="Times New Roman"/>
          <w:sz w:val="32"/>
          <w:szCs w:val="32"/>
        </w:rPr>
        <w:t>开发用于纺织、汽车等工业的高强防静电石墨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增强通用聚合物基复合材料。</w:t>
      </w:r>
    </w:p>
    <w:p w:rsidR="009551EB" w:rsidRPr="008B4B16" w:rsidRDefault="00746F1F">
      <w:pPr>
        <w:pStyle w:val="1"/>
        <w:spacing w:line="560" w:lineRule="exact"/>
        <w:ind w:firstLineChars="225" w:firstLine="72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申报要求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 w:rsidRPr="008B4B16">
        <w:rPr>
          <w:rFonts w:ascii="Times New Roman" w:eastAsia="仿宋_GB2312" w:hAnsi="Times New Roman" w:cs="Times New Roman"/>
          <w:sz w:val="32"/>
          <w:szCs w:val="32"/>
        </w:rPr>
        <w:t>围绕天津市碳纳米材料研究人才培育与创新团队建设，鼓励采取产学研合作方式申报。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项目完成后，产品技术水平达到国内领先，实现在新能源汽车、电子信息等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个领域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以上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的示范应用，新增专利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项，形成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—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="00AD0A2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重点新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产品。</w:t>
      </w: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碳纤维及复合材料</w:t>
      </w: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重点突破高性能碳纤维与金属、陶瓷、高分子等材料的复合关键技术，实现高性能碳纤维复合材料的规模化制备与应用。</w:t>
      </w:r>
    </w:p>
    <w:p w:rsidR="009551EB" w:rsidRPr="008B4B16" w:rsidRDefault="00746F1F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申报要求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 w:rsidRPr="008B4B16">
        <w:rPr>
          <w:rFonts w:ascii="Times New Roman" w:eastAsia="仿宋_GB2312" w:hAnsi="Times New Roman" w:cs="Times New Roman"/>
          <w:sz w:val="32"/>
          <w:szCs w:val="32"/>
        </w:rPr>
        <w:t>优先支持产学研合作项目</w:t>
      </w:r>
      <w:r w:rsidR="00A4776A" w:rsidRPr="008B4B1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项目完成后，新增专利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项，形成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="00F7072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重点新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产品，并实现批量生产，</w:t>
      </w:r>
      <w:r w:rsidR="00426778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年销售额</w:t>
      </w:r>
      <w:r w:rsidR="005D688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超过</w:t>
      </w:r>
      <w:r w:rsidR="00F7072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5000</w:t>
      </w:r>
      <w:r w:rsidR="00F7072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元。</w:t>
      </w: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特种石墨</w:t>
      </w:r>
    </w:p>
    <w:p w:rsidR="009551EB" w:rsidRDefault="00746F1F">
      <w:pPr>
        <w:pStyle w:val="1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开发光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半导体用等静压石墨、高铁受电弓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滑板等高性能特种石墨材料，实现规模化生产及应用。</w:t>
      </w:r>
    </w:p>
    <w:p w:rsidR="009551EB" w:rsidRPr="008B4B16" w:rsidRDefault="00746F1F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申报要求：</w:t>
      </w:r>
      <w:r w:rsidRPr="008B4B16">
        <w:rPr>
          <w:rFonts w:ascii="Times New Roman" w:eastAsia="仿宋_GB2312" w:hAnsi="Times New Roman" w:cs="Times New Roman"/>
          <w:sz w:val="32"/>
          <w:szCs w:val="32"/>
        </w:rPr>
        <w:t>企业牵头申报，优先支持产学研合作项目。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项目完成后，产品技术水平达到国内领先，新增专利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项，形成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杀手锏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产品，在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个领域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建立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示范应用，</w:t>
      </w:r>
      <w:r w:rsidR="00426778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年销售额</w:t>
      </w:r>
      <w:r w:rsidR="00FC255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超过</w:t>
      </w:r>
      <w:r w:rsidR="00FC255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FC255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亿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元。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方向二：新型功能材料</w:t>
      </w:r>
    </w:p>
    <w:p w:rsidR="009551EB" w:rsidRDefault="00746F1F">
      <w:pPr>
        <w:tabs>
          <w:tab w:val="left" w:pos="720"/>
        </w:tabs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第三代半导体材料与半导体照明</w:t>
      </w:r>
    </w:p>
    <w:p w:rsidR="009551EB" w:rsidRDefault="00746F1F">
      <w:pPr>
        <w:tabs>
          <w:tab w:val="left" w:pos="720"/>
        </w:tabs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1.1</w:t>
      </w:r>
      <w:r>
        <w:rPr>
          <w:rFonts w:ascii="Times New Roman" w:eastAsia="仿宋_GB2312" w:hAnsi="Times New Roman" w:cs="Times New Roman"/>
          <w:sz w:val="32"/>
          <w:szCs w:val="32"/>
        </w:rPr>
        <w:t>开发大尺寸、高质量第三代半导体衬底及外延材料制备关键技术，实现规模化生产；</w:t>
      </w:r>
    </w:p>
    <w:p w:rsidR="009551EB" w:rsidRDefault="00746F1F">
      <w:pPr>
        <w:tabs>
          <w:tab w:val="left" w:pos="720"/>
        </w:tabs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1.2</w:t>
      </w:r>
      <w:r>
        <w:rPr>
          <w:rFonts w:ascii="Times New Roman" w:eastAsia="仿宋_GB2312" w:hAnsi="Times New Roman" w:cs="Times New Roman"/>
          <w:sz w:val="32"/>
          <w:szCs w:val="32"/>
        </w:rPr>
        <w:t>开发第三代半导体高效光源、电力电子器件及模块的设计制造技术，实现在新能源、下一代移动通信、绿色照明等领域的示范应用。</w:t>
      </w:r>
    </w:p>
    <w:p w:rsidR="009551EB" w:rsidRPr="008B4B16" w:rsidRDefault="00746F1F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申报要求：</w:t>
      </w:r>
      <w:r w:rsidR="00A4776A" w:rsidRPr="008B4B16">
        <w:rPr>
          <w:rFonts w:ascii="Times New Roman" w:eastAsia="仿宋_GB2312" w:hAnsi="Times New Roman" w:cs="Times New Roman"/>
          <w:sz w:val="32"/>
          <w:szCs w:val="32"/>
        </w:rPr>
        <w:t>企业牵头</w:t>
      </w:r>
      <w:r w:rsidR="00A4776A" w:rsidRPr="008B4B16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A4776A" w:rsidRPr="008B4B16">
        <w:rPr>
          <w:rFonts w:ascii="Times New Roman" w:eastAsia="仿宋_GB2312" w:hAnsi="Times New Roman" w:cs="Times New Roman"/>
          <w:sz w:val="32"/>
          <w:szCs w:val="32"/>
        </w:rPr>
        <w:t>，优先支持产学研合作项目</w:t>
      </w:r>
      <w:r w:rsidRPr="008B4B16">
        <w:rPr>
          <w:rFonts w:ascii="Times New Roman" w:eastAsia="仿宋_GB2312" w:hAnsi="Times New Roman" w:cs="Times New Roman"/>
          <w:sz w:val="32"/>
          <w:szCs w:val="32"/>
        </w:rPr>
        <w:t>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项目完成后，新增专利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项，形成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杀手锏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产品，在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个领域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建立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示范应用，</w:t>
      </w:r>
      <w:r w:rsidR="00426778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年销售额</w:t>
      </w:r>
      <w:r w:rsidR="00FC255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超过</w:t>
      </w:r>
      <w:r w:rsidR="000C3674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FC255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亿元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9551EB" w:rsidRDefault="00746F1F">
      <w:pPr>
        <w:tabs>
          <w:tab w:val="left" w:pos="720"/>
        </w:tabs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大功率激光材料与器件</w:t>
      </w:r>
    </w:p>
    <w:p w:rsidR="009551EB" w:rsidRDefault="00746F1F">
      <w:pPr>
        <w:tabs>
          <w:tab w:val="left" w:pos="72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突破高性能激光材料制备技术，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开发</w:t>
      </w:r>
      <w:r>
        <w:rPr>
          <w:rFonts w:ascii="Times New Roman" w:eastAsia="仿宋_GB2312" w:hAnsi="Times New Roman" w:cs="Times New Roman"/>
          <w:sz w:val="32"/>
          <w:szCs w:val="32"/>
        </w:rPr>
        <w:t>出工业化高功率连续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脉冲激光器、光纤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半导体高亮度大功率激光器、紫外激光器等激光器件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大功率激光设备，实现在先进工业加工、精密检测、雷达遥感等领域的示范应用。</w:t>
      </w:r>
    </w:p>
    <w:p w:rsidR="009551EB" w:rsidRDefault="00746F1F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申报要求：</w:t>
      </w:r>
      <w:r w:rsidRPr="008B4B16">
        <w:rPr>
          <w:rFonts w:ascii="Times New Roman" w:eastAsia="仿宋_GB2312" w:hAnsi="Times New Roman" w:cs="Times New Roman"/>
          <w:sz w:val="32"/>
          <w:szCs w:val="32"/>
        </w:rPr>
        <w:t>企业牵头申报，优先支持产学研合作项目。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项目完成后，产品达到</w:t>
      </w:r>
      <w:r w:rsidRPr="008B4B16">
        <w:rPr>
          <w:rFonts w:ascii="Times New Roman" w:eastAsia="仿宋_GB2312" w:hAnsi="Times New Roman" w:cs="Times New Roman"/>
          <w:sz w:val="32"/>
          <w:szCs w:val="32"/>
        </w:rPr>
        <w:t>国际同类产品水平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，新增专利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FC255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项，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形成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杀手锏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产品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，在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个领域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建立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示范应用，</w:t>
      </w:r>
      <w:r w:rsidR="00426778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年销售额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超过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亿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元。</w:t>
      </w:r>
    </w:p>
    <w:p w:rsidR="009551EB" w:rsidRDefault="00746F1F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．储能材料</w:t>
      </w:r>
    </w:p>
    <w:p w:rsidR="009551EB" w:rsidRDefault="00746F1F">
      <w:pPr>
        <w:tabs>
          <w:tab w:val="left" w:pos="720"/>
        </w:tabs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开发功能化、廉价纳米多孔过渡金属功能膜电极规模化制备关键技术，制备出应用于电动汽车、混合动力汽车等领域的高能量密度、高功率密度、高安全性和长寿命的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赝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电容超级电容器。</w:t>
      </w:r>
    </w:p>
    <w:p w:rsidR="009551EB" w:rsidRPr="008B4B16" w:rsidRDefault="00746F1F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申报要求：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项目完成后，成果的性能综合指标达到国内领先，新增专利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项，在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个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以上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领域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建立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示范应用。</w:t>
      </w:r>
    </w:p>
    <w:p w:rsidR="009551EB" w:rsidRDefault="00746F1F">
      <w:pPr>
        <w:tabs>
          <w:tab w:val="left" w:pos="720"/>
        </w:tabs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高端氟化工材料</w:t>
      </w:r>
    </w:p>
    <w:p w:rsidR="009551EB" w:rsidRDefault="00746F1F">
      <w:pPr>
        <w:tabs>
          <w:tab w:val="left" w:pos="720"/>
        </w:tabs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开发具有耐高温、耐候性、耐化学腐蚀性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的全氟聚醚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油和氟化硅烷等高端氟化工产品，为航空航天、电子信息和汽车等领域提供支撑。</w:t>
      </w:r>
    </w:p>
    <w:p w:rsidR="009551EB" w:rsidRPr="008B4B16" w:rsidRDefault="00746F1F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申报要求：</w:t>
      </w:r>
      <w:r>
        <w:rPr>
          <w:rFonts w:ascii="Times New Roman" w:eastAsia="仿宋_GB2312" w:hAnsi="Times New Roman" w:cs="Times New Roman"/>
          <w:sz w:val="32"/>
          <w:szCs w:val="32"/>
        </w:rPr>
        <w:t>企业牵头申报，优先支持产学研合作项目。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项目完成后，产品技术水平达到国内领先，新增专利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项，形成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="00AD0A2B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重点新</w:t>
      </w:r>
      <w:r w:rsidR="008D08C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产品</w:t>
      </w:r>
      <w:r w:rsidR="008D08C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，项目完成后，</w:t>
      </w:r>
      <w:r w:rsidR="00426778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="008D08C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年销售额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超过</w:t>
      </w:r>
      <w:r w:rsidR="00C92B81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5000</w:t>
      </w:r>
      <w:r w:rsidR="00C92B81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</w:t>
      </w:r>
      <w:r w:rsidR="008D08C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元。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方向三：高端金属材料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．交通装备用金属材料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开发高强度、低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松驰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、高粘结、高抗疲劳性的预应力钢材，重载铁路用钢，机车专用耐候焊丝，适用于汽车零部件的轻质、高强、高韧铝合金等产品。</w:t>
      </w:r>
    </w:p>
    <w:p w:rsidR="009551EB" w:rsidRPr="008B4B16" w:rsidRDefault="00746F1F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申报要求：</w:t>
      </w:r>
      <w:r w:rsidR="00A4776A">
        <w:rPr>
          <w:rFonts w:ascii="Times New Roman" w:eastAsia="仿宋_GB2312" w:hAnsi="Times New Roman" w:cs="Times New Roman"/>
          <w:sz w:val="32"/>
          <w:szCs w:val="32"/>
        </w:rPr>
        <w:t>企业牵头</w:t>
      </w:r>
      <w:r w:rsidR="00A4776A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A4776A">
        <w:rPr>
          <w:rFonts w:ascii="Times New Roman" w:eastAsia="仿宋_GB2312" w:hAnsi="Times New Roman" w:cs="Times New Roman"/>
          <w:sz w:val="32"/>
          <w:szCs w:val="32"/>
        </w:rPr>
        <w:t>，优先支持产学研合作项目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项目完成后，新增专利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项，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形成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杀手锏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产品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，实现批量生产，</w:t>
      </w:r>
      <w:r w:rsidR="00426778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年销售额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超过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亿元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航空航天用金属材料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开发航空航天用超高强铝合金中厚板及型材制品、大规格锻件及型材、大型复杂结构铝材焊接件、大型钛合金材、高温合金、航空用钢丝绳盘条等产品。</w:t>
      </w:r>
    </w:p>
    <w:p w:rsidR="009551EB" w:rsidRPr="008B4B16" w:rsidRDefault="00746F1F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申报要求：</w:t>
      </w:r>
      <w:r w:rsidR="00B562AE">
        <w:rPr>
          <w:rFonts w:ascii="Times New Roman" w:eastAsia="仿宋_GB2312" w:hAnsi="Times New Roman" w:cs="Times New Roman"/>
          <w:sz w:val="32"/>
          <w:szCs w:val="32"/>
        </w:rPr>
        <w:t>企业牵头</w:t>
      </w:r>
      <w:r w:rsidR="00A4776A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，优先支持产学研合作项目。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新增专利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E92A5D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项，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形成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杀手锏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产品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，实现批量生产，</w:t>
      </w:r>
      <w:r w:rsidR="00426778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年销售额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超过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亿元。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海洋工程装备用金属材料</w:t>
      </w:r>
    </w:p>
    <w:p w:rsidR="009551EB" w:rsidRDefault="00746F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开发海洋工程用高强度特厚齿条钢、超高强度钢、耐蚀盘条、海洋平台专用焊丝等产品，满足海洋工程装备需求。</w:t>
      </w:r>
    </w:p>
    <w:p w:rsidR="00B562AE" w:rsidRPr="008B4B16" w:rsidRDefault="00746F1F" w:rsidP="00306826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申报要求：</w:t>
      </w:r>
      <w:r w:rsidR="00A4776A">
        <w:rPr>
          <w:rFonts w:ascii="Times New Roman" w:eastAsia="仿宋_GB2312" w:hAnsi="Times New Roman" w:cs="Times New Roman"/>
          <w:sz w:val="32"/>
          <w:szCs w:val="32"/>
        </w:rPr>
        <w:t>企业牵头</w:t>
      </w:r>
      <w:r w:rsidR="00A4776A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A4776A">
        <w:rPr>
          <w:rFonts w:ascii="Times New Roman" w:eastAsia="仿宋_GB2312" w:hAnsi="Times New Roman" w:cs="Times New Roman"/>
          <w:sz w:val="32"/>
          <w:szCs w:val="32"/>
        </w:rPr>
        <w:t>，优先支持产学研合作项目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 w:rsidR="00426778" w:rsidRPr="008B4B16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项目完成后，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新增专利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项，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形成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杀手锏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746686" w:rsidRPr="008B4B16">
        <w:rPr>
          <w:rFonts w:ascii="Times New Roman" w:eastAsia="仿宋_GB2312" w:hAnsi="Times New Roman" w:cs="Times New Roman"/>
          <w:kern w:val="0"/>
          <w:sz w:val="32"/>
          <w:szCs w:val="32"/>
        </w:rPr>
        <w:t>产品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，实现批量生产，</w:t>
      </w:r>
      <w:r w:rsidR="00426778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年销售额</w:t>
      </w:r>
      <w:r w:rsidR="00B562AE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超过</w:t>
      </w:r>
      <w:r w:rsidR="00746686"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8B4B1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亿元。</w:t>
      </w:r>
    </w:p>
    <w:sectPr w:rsidR="00B562AE" w:rsidRPr="008B4B16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03" w:rsidRDefault="00947703">
      <w:r>
        <w:separator/>
      </w:r>
    </w:p>
  </w:endnote>
  <w:endnote w:type="continuationSeparator" w:id="0">
    <w:p w:rsidR="00947703" w:rsidRDefault="0094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565388"/>
    </w:sdtPr>
    <w:sdtEndPr>
      <w:rPr>
        <w:rFonts w:asciiTheme="minorEastAsia" w:hAnsiTheme="minorEastAsia"/>
        <w:sz w:val="28"/>
        <w:szCs w:val="28"/>
      </w:rPr>
    </w:sdtEndPr>
    <w:sdtContent>
      <w:p w:rsidR="009551EB" w:rsidRDefault="00746F1F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B3E86" w:rsidRPr="002B3E8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B3E86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03" w:rsidRDefault="00947703">
      <w:r>
        <w:separator/>
      </w:r>
    </w:p>
  </w:footnote>
  <w:footnote w:type="continuationSeparator" w:id="0">
    <w:p w:rsidR="00947703" w:rsidRDefault="00947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4C"/>
    <w:rsid w:val="00010EA8"/>
    <w:rsid w:val="000C3674"/>
    <w:rsid w:val="000D6E43"/>
    <w:rsid w:val="000F670D"/>
    <w:rsid w:val="0013184C"/>
    <w:rsid w:val="001A2113"/>
    <w:rsid w:val="001A7192"/>
    <w:rsid w:val="001C6467"/>
    <w:rsid w:val="00205C94"/>
    <w:rsid w:val="00257274"/>
    <w:rsid w:val="00265638"/>
    <w:rsid w:val="002B2C74"/>
    <w:rsid w:val="002B3E86"/>
    <w:rsid w:val="002B7A90"/>
    <w:rsid w:val="002F59EA"/>
    <w:rsid w:val="002F69DB"/>
    <w:rsid w:val="00306826"/>
    <w:rsid w:val="00355623"/>
    <w:rsid w:val="00391479"/>
    <w:rsid w:val="003A7AA1"/>
    <w:rsid w:val="003F0B0E"/>
    <w:rsid w:val="00417450"/>
    <w:rsid w:val="00426778"/>
    <w:rsid w:val="0046141E"/>
    <w:rsid w:val="004B3894"/>
    <w:rsid w:val="004F1617"/>
    <w:rsid w:val="004F69B2"/>
    <w:rsid w:val="004F79F6"/>
    <w:rsid w:val="005108D8"/>
    <w:rsid w:val="005224BB"/>
    <w:rsid w:val="0053396A"/>
    <w:rsid w:val="0054621C"/>
    <w:rsid w:val="0057705A"/>
    <w:rsid w:val="005D688B"/>
    <w:rsid w:val="006124B2"/>
    <w:rsid w:val="00625F07"/>
    <w:rsid w:val="00746686"/>
    <w:rsid w:val="00746F1F"/>
    <w:rsid w:val="007829D1"/>
    <w:rsid w:val="007F1663"/>
    <w:rsid w:val="00865C45"/>
    <w:rsid w:val="00866DC9"/>
    <w:rsid w:val="008B4B16"/>
    <w:rsid w:val="008D08C6"/>
    <w:rsid w:val="008D2BD8"/>
    <w:rsid w:val="009460F4"/>
    <w:rsid w:val="00947703"/>
    <w:rsid w:val="00954828"/>
    <w:rsid w:val="009551EB"/>
    <w:rsid w:val="0099596E"/>
    <w:rsid w:val="009B77CD"/>
    <w:rsid w:val="009C6A9A"/>
    <w:rsid w:val="009F35A0"/>
    <w:rsid w:val="00A335AD"/>
    <w:rsid w:val="00A42F43"/>
    <w:rsid w:val="00A4776A"/>
    <w:rsid w:val="00A938E1"/>
    <w:rsid w:val="00AA0CF8"/>
    <w:rsid w:val="00AA7C45"/>
    <w:rsid w:val="00AC07DE"/>
    <w:rsid w:val="00AC29C0"/>
    <w:rsid w:val="00AD09EF"/>
    <w:rsid w:val="00AD0A2B"/>
    <w:rsid w:val="00AD407C"/>
    <w:rsid w:val="00B0021D"/>
    <w:rsid w:val="00B562AE"/>
    <w:rsid w:val="00BA1C27"/>
    <w:rsid w:val="00BA4D06"/>
    <w:rsid w:val="00BB55ED"/>
    <w:rsid w:val="00BD10C3"/>
    <w:rsid w:val="00C06DBE"/>
    <w:rsid w:val="00C52A58"/>
    <w:rsid w:val="00C92B81"/>
    <w:rsid w:val="00CA168B"/>
    <w:rsid w:val="00CA2C01"/>
    <w:rsid w:val="00CB12B8"/>
    <w:rsid w:val="00D028F6"/>
    <w:rsid w:val="00D04BD0"/>
    <w:rsid w:val="00D3476D"/>
    <w:rsid w:val="00D44E89"/>
    <w:rsid w:val="00D80C98"/>
    <w:rsid w:val="00D857F8"/>
    <w:rsid w:val="00DA19D2"/>
    <w:rsid w:val="00E11D30"/>
    <w:rsid w:val="00E12F83"/>
    <w:rsid w:val="00E92A5D"/>
    <w:rsid w:val="00F7072E"/>
    <w:rsid w:val="00FB0A94"/>
    <w:rsid w:val="00FC255B"/>
    <w:rsid w:val="00FE76B5"/>
    <w:rsid w:val="65672CC2"/>
    <w:rsid w:val="6E816349"/>
    <w:rsid w:val="74A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="560"/>
    </w:pPr>
    <w:rPr>
      <w:rFonts w:ascii="Times New Roman" w:eastAsia="仿宋_GB2312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Times New Roman" w:eastAsia="仿宋_GB2312" w:hAnsi="Times New Roman" w:cs="Times New Roman"/>
      <w:sz w:val="28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="560"/>
    </w:pPr>
    <w:rPr>
      <w:rFonts w:ascii="Times New Roman" w:eastAsia="仿宋_GB2312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Times New Roman" w:eastAsia="仿宋_GB2312" w:hAnsi="Times New Roman" w:cs="Times New Roman"/>
      <w:sz w:val="28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B8A2FA-669B-4BDA-8448-6709B35B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Yuexin</dc:creator>
  <cp:lastModifiedBy>user</cp:lastModifiedBy>
  <cp:revision>10</cp:revision>
  <cp:lastPrinted>2016-05-19T02:54:00Z</cp:lastPrinted>
  <dcterms:created xsi:type="dcterms:W3CDTF">2016-05-10T09:26:00Z</dcterms:created>
  <dcterms:modified xsi:type="dcterms:W3CDTF">2016-05-25T06:44:00Z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