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GB-2312" w:hAnsi="GB-2312" w:eastAsia="楷体_GB2312"/>
          <w:b/>
          <w:bCs/>
          <w:sz w:val="56"/>
          <w:szCs w:val="56"/>
        </w:rPr>
      </w:pPr>
    </w:p>
    <w:p>
      <w:pPr>
        <w:spacing w:line="800" w:lineRule="exact"/>
        <w:jc w:val="center"/>
        <w:rPr>
          <w:rFonts w:ascii="GB-2312" w:hAnsi="GB-2312" w:eastAsia="楷体_GB2312"/>
          <w:b/>
          <w:bCs/>
          <w:sz w:val="56"/>
          <w:szCs w:val="56"/>
        </w:rPr>
      </w:pPr>
    </w:p>
    <w:p>
      <w:pPr>
        <w:jc w:val="center"/>
        <w:rPr>
          <w:rFonts w:hint="eastAsia" w:ascii="GB-2312" w:hAnsi="GB-2312" w:eastAsia="楷体_GB2312"/>
          <w:sz w:val="68"/>
          <w:szCs w:val="68"/>
        </w:rPr>
      </w:pPr>
      <w:r>
        <w:rPr>
          <w:rFonts w:ascii="GB-2312" w:hAnsi="GB-2312" w:eastAsia="楷体_GB2312"/>
          <w:sz w:val="68"/>
          <w:szCs w:val="68"/>
        </w:rPr>
        <w:t>北</w:t>
      </w:r>
      <w:r>
        <w:rPr>
          <w:rFonts w:ascii="楷体_GB2312" w:hAnsi="GB-2312" w:eastAsia="楷体_GB2312"/>
          <w:sz w:val="68"/>
          <w:szCs w:val="68"/>
        </w:rPr>
        <w:t>大</w:t>
      </w:r>
      <w:r>
        <w:rPr>
          <w:rFonts w:ascii="GB-2312" w:hAnsi="GB-2312" w:eastAsia="楷体_GB2312"/>
          <w:sz w:val="68"/>
          <w:szCs w:val="68"/>
        </w:rPr>
        <w:t>南开无机化学材料论坛</w:t>
      </w:r>
    </w:p>
    <w:p>
      <w:pPr>
        <w:jc w:val="center"/>
        <w:rPr>
          <w:rFonts w:ascii="GB-2312" w:hAnsi="GB-2312" w:eastAsia="楷体_GB2312"/>
          <w:sz w:val="84"/>
          <w:szCs w:val="84"/>
        </w:rPr>
      </w:pPr>
      <w:r>
        <w:rPr>
          <w:rFonts w:hint="eastAsia" w:ascii="GB-2312" w:hAnsi="GB-2312" w:eastAsia="楷体_GB2312" w:cs="楷体_GB2312"/>
          <w:sz w:val="84"/>
          <w:szCs w:val="84"/>
        </w:rPr>
        <w:t>会</w:t>
      </w:r>
      <w:r>
        <w:rPr>
          <w:rFonts w:ascii="GB-2312" w:hAnsi="GB-2312" w:eastAsia="楷体_GB2312" w:cs="GB-2312"/>
          <w:sz w:val="84"/>
          <w:szCs w:val="84"/>
        </w:rPr>
        <w:t xml:space="preserve"> </w:t>
      </w:r>
      <w:r>
        <w:rPr>
          <w:rFonts w:hint="eastAsia" w:ascii="GB-2312" w:hAnsi="GB-2312" w:eastAsia="楷体_GB2312" w:cs="楷体_GB2312"/>
          <w:sz w:val="84"/>
          <w:szCs w:val="84"/>
        </w:rPr>
        <w:t>议</w:t>
      </w:r>
      <w:r>
        <w:rPr>
          <w:rFonts w:ascii="GB-2312" w:hAnsi="GB-2312" w:eastAsia="楷体_GB2312" w:cs="GB-2312"/>
          <w:sz w:val="84"/>
          <w:szCs w:val="84"/>
        </w:rPr>
        <w:t xml:space="preserve"> </w:t>
      </w:r>
      <w:r>
        <w:rPr>
          <w:rFonts w:hint="eastAsia" w:ascii="GB-2312" w:hAnsi="GB-2312" w:eastAsia="楷体_GB2312" w:cs="楷体_GB2312"/>
          <w:sz w:val="84"/>
          <w:szCs w:val="84"/>
        </w:rPr>
        <w:t>手</w:t>
      </w:r>
      <w:r>
        <w:rPr>
          <w:rFonts w:ascii="GB-2312" w:hAnsi="GB-2312" w:eastAsia="楷体_GB2312" w:cs="GB-2312"/>
          <w:sz w:val="84"/>
          <w:szCs w:val="84"/>
        </w:rPr>
        <w:t xml:space="preserve"> </w:t>
      </w:r>
      <w:r>
        <w:rPr>
          <w:rFonts w:hint="eastAsia" w:ascii="GB-2312" w:hAnsi="GB-2312" w:eastAsia="楷体_GB2312" w:cs="楷体_GB2312"/>
          <w:sz w:val="84"/>
          <w:szCs w:val="84"/>
        </w:rPr>
        <w:t>册</w:t>
      </w:r>
    </w:p>
    <w:p>
      <w:pPr>
        <w:rPr>
          <w:rFonts w:ascii="GB-2312" w:hAnsi="GB-2312" w:eastAsia="楷体_GB2312"/>
        </w:rPr>
      </w:pPr>
    </w:p>
    <w:p>
      <w:pPr>
        <w:rPr>
          <w:rFonts w:ascii="GB-2312" w:hAnsi="GB-2312" w:eastAsia="楷体_GB2312"/>
        </w:rPr>
      </w:pPr>
    </w:p>
    <w:p>
      <w:pPr>
        <w:rPr>
          <w:rFonts w:ascii="GB-2312" w:hAnsi="GB-2312" w:eastAsia="楷体_GB2312"/>
        </w:rPr>
      </w:pPr>
    </w:p>
    <w:p>
      <w:pPr>
        <w:rPr>
          <w:rFonts w:ascii="GB-2312" w:hAnsi="GB-2312" w:eastAsia="楷体_GB2312"/>
        </w:rPr>
      </w:pPr>
    </w:p>
    <w:p>
      <w:pPr>
        <w:rPr>
          <w:rFonts w:ascii="GB-2312" w:hAnsi="GB-2312" w:eastAsia="楷体_GB2312"/>
        </w:rPr>
      </w:pPr>
    </w:p>
    <w:p>
      <w:pPr>
        <w:rPr>
          <w:rFonts w:ascii="GB-2312" w:hAnsi="GB-2312" w:eastAsia="楷体_GB2312"/>
        </w:rPr>
      </w:pPr>
    </w:p>
    <w:p>
      <w:pPr>
        <w:jc w:val="center"/>
        <w:rPr>
          <w:rFonts w:ascii="GB-2312" w:hAnsi="GB-2312" w:eastAsia="楷体_GB2312"/>
          <w:sz w:val="36"/>
          <w:szCs w:val="36"/>
        </w:rPr>
      </w:pPr>
    </w:p>
    <w:p>
      <w:pPr>
        <w:rPr>
          <w:rFonts w:ascii="GB-2312" w:hAnsi="GB-2312" w:eastAsia="楷体_GB2312"/>
        </w:rPr>
      </w:pPr>
    </w:p>
    <w:p>
      <w:pPr>
        <w:rPr>
          <w:rFonts w:ascii="GB-2312" w:hAnsi="GB-2312" w:eastAsia="楷体_GB2312"/>
        </w:rPr>
      </w:pPr>
    </w:p>
    <w:p>
      <w:pPr>
        <w:rPr>
          <w:rFonts w:ascii="GB-2312" w:hAnsi="GB-2312" w:eastAsia="楷体_GB2312"/>
        </w:rPr>
      </w:pPr>
    </w:p>
    <w:p>
      <w:pPr>
        <w:jc w:val="center"/>
        <w:rPr>
          <w:rFonts w:ascii="GB-2312" w:hAnsi="GB-2312" w:eastAsia="楷体_GB2312"/>
        </w:rPr>
      </w:pPr>
      <w:r>
        <w:rPr>
          <w:rFonts w:ascii="GB-2312" w:hAnsi="GB-2312" w:eastAsia="楷体_GB2312"/>
        </w:rPr>
        <w:drawing>
          <wp:inline distT="0" distB="0" distL="114300" distR="114300">
            <wp:extent cx="2165985" cy="2165985"/>
            <wp:effectExtent l="0" t="0" r="5715" b="5715"/>
            <wp:docPr id="1" name="图片 1" descr="北大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大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2165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GB-2312" w:hAnsi="GB-2312" w:eastAsia="楷体_GB2312"/>
        </w:rPr>
        <w:t xml:space="preserve">            </w:t>
      </w:r>
      <w:r>
        <w:rPr>
          <w:rFonts w:ascii="GB-2312" w:hAnsi="GB-2312" w:eastAsia="楷体_GB2312"/>
        </w:rPr>
        <w:drawing>
          <wp:inline distT="0" distB="0" distL="114300" distR="114300">
            <wp:extent cx="2263140" cy="2231390"/>
            <wp:effectExtent l="0" t="0" r="3810" b="16510"/>
            <wp:docPr id="2" name="图片 2" descr="3812b31bb051f81980dc3243dbb44aed2e73e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12b31bb051f81980dc3243dbb44aed2e73e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GB-2312" w:hAnsi="GB-2312" w:eastAsia="楷体_GB2312"/>
        </w:rPr>
      </w:pPr>
    </w:p>
    <w:p>
      <w:pPr>
        <w:jc w:val="center"/>
        <w:rPr>
          <w:rFonts w:hint="eastAsia" w:ascii="GB-2312" w:hAnsi="GB-2312" w:eastAsia="楷体_GB2312"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南开大学</w:t>
      </w:r>
    </w:p>
    <w:p>
      <w:pPr>
        <w:spacing w:line="360" w:lineRule="auto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201</w:t>
      </w:r>
      <w:r>
        <w:rPr>
          <w:rFonts w:hint="eastAsia" w:ascii="楷体" w:hAnsi="楷体" w:eastAsia="楷体"/>
          <w:sz w:val="32"/>
          <w:szCs w:val="32"/>
        </w:rPr>
        <w:t>7年</w:t>
      </w:r>
      <w:r>
        <w:rPr>
          <w:rFonts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6</w:t>
      </w:r>
      <w:r>
        <w:rPr>
          <w:rFonts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月9-10日</w:t>
      </w:r>
    </w:p>
    <w:p>
      <w:pPr>
        <w:widowControl/>
        <w:jc w:val="center"/>
        <w:rPr>
          <w:rFonts w:ascii="楷体" w:hAnsi="楷体" w:eastAsia="楷体"/>
          <w:b/>
          <w:bCs/>
          <w:sz w:val="52"/>
          <w:szCs w:val="52"/>
        </w:rPr>
      </w:pPr>
      <w:r>
        <w:rPr>
          <w:rFonts w:ascii="楷体" w:hAnsi="楷体" w:eastAsia="楷体"/>
          <w:sz w:val="32"/>
          <w:szCs w:val="32"/>
        </w:rPr>
        <w:br w:type="page"/>
      </w:r>
      <w:r>
        <w:rPr>
          <w:rFonts w:hint="eastAsia" w:ascii="楷体" w:hAnsi="楷体" w:eastAsia="楷体" w:cs="楷体"/>
          <w:b/>
          <w:bCs/>
          <w:sz w:val="52"/>
          <w:szCs w:val="52"/>
        </w:rPr>
        <w:t>会</w:t>
      </w:r>
      <w:r>
        <w:rPr>
          <w:rFonts w:ascii="楷体" w:hAnsi="楷体" w:eastAsia="楷体" w:cs="楷体"/>
          <w:b/>
          <w:bCs/>
          <w:sz w:val="52"/>
          <w:szCs w:val="52"/>
        </w:rPr>
        <w:t xml:space="preserve"> </w:t>
      </w:r>
      <w:r>
        <w:rPr>
          <w:rFonts w:hint="eastAsia" w:ascii="楷体" w:hAnsi="楷体" w:eastAsia="楷体" w:cs="楷体"/>
          <w:b/>
          <w:bCs/>
          <w:sz w:val="52"/>
          <w:szCs w:val="52"/>
        </w:rPr>
        <w:t>务</w:t>
      </w:r>
      <w:r>
        <w:rPr>
          <w:rFonts w:ascii="楷体" w:hAnsi="楷体" w:eastAsia="楷体" w:cs="楷体"/>
          <w:b/>
          <w:bCs/>
          <w:sz w:val="52"/>
          <w:szCs w:val="52"/>
        </w:rPr>
        <w:t xml:space="preserve"> </w:t>
      </w:r>
      <w:r>
        <w:rPr>
          <w:rFonts w:hint="eastAsia" w:ascii="楷体" w:hAnsi="楷体" w:eastAsia="楷体" w:cs="楷体"/>
          <w:b/>
          <w:bCs/>
          <w:sz w:val="52"/>
          <w:szCs w:val="52"/>
        </w:rPr>
        <w:t>安</w:t>
      </w:r>
      <w:r>
        <w:rPr>
          <w:rFonts w:ascii="楷体" w:hAnsi="楷体" w:eastAsia="楷体" w:cs="楷体"/>
          <w:b/>
          <w:bCs/>
          <w:sz w:val="52"/>
          <w:szCs w:val="52"/>
        </w:rPr>
        <w:t xml:space="preserve"> </w:t>
      </w:r>
      <w:r>
        <w:rPr>
          <w:rFonts w:hint="eastAsia" w:ascii="楷体" w:hAnsi="楷体" w:eastAsia="楷体" w:cs="楷体"/>
          <w:b/>
          <w:bCs/>
          <w:sz w:val="52"/>
          <w:szCs w:val="52"/>
        </w:rPr>
        <w:t>排</w:t>
      </w:r>
    </w:p>
    <w:p>
      <w:pPr>
        <w:numPr>
          <w:ilvl w:val="0"/>
          <w:numId w:val="1"/>
        </w:numPr>
        <w:spacing w:line="360" w:lineRule="auto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住宿地点</w:t>
      </w:r>
    </w:p>
    <w:p>
      <w:pPr>
        <w:spacing w:line="360" w:lineRule="auto"/>
        <w:ind w:left="72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天津赛象酒店</w:t>
      </w:r>
    </w:p>
    <w:p>
      <w:pPr>
        <w:spacing w:line="360" w:lineRule="auto"/>
        <w:ind w:left="72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地址：</w:t>
      </w:r>
      <w:r>
        <w:rPr>
          <w:rFonts w:ascii="楷体" w:hAnsi="楷体" w:eastAsia="楷体" w:cs="楷体"/>
          <w:sz w:val="32"/>
          <w:szCs w:val="32"/>
        </w:rPr>
        <w:t>天津市新技术产业园区华苑产业区梅苑路8号（近开华道）</w:t>
      </w:r>
      <w:r>
        <w:rPr>
          <w:rFonts w:hint="eastAsia" w:ascii="楷体" w:hAnsi="楷体" w:eastAsia="楷体" w:cs="楷体"/>
          <w:sz w:val="32"/>
          <w:szCs w:val="32"/>
        </w:rPr>
        <w:t>电话：0</w:t>
      </w:r>
      <w:r>
        <w:rPr>
          <w:rFonts w:ascii="楷体" w:hAnsi="楷体" w:eastAsia="楷体" w:cs="楷体"/>
          <w:sz w:val="32"/>
          <w:szCs w:val="32"/>
        </w:rPr>
        <w:t>22-96599045</w:t>
      </w:r>
    </w:p>
    <w:p>
      <w:pPr>
        <w:numPr>
          <w:ilvl w:val="0"/>
          <w:numId w:val="1"/>
        </w:numPr>
        <w:spacing w:line="360" w:lineRule="auto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会议</w:t>
      </w:r>
      <w:r>
        <w:rPr>
          <w:rFonts w:ascii="楷体" w:hAnsi="楷体" w:eastAsia="楷体" w:cs="楷体"/>
          <w:sz w:val="32"/>
          <w:szCs w:val="32"/>
        </w:rPr>
        <w:t>时间、地点</w:t>
      </w:r>
    </w:p>
    <w:p>
      <w:pPr>
        <w:spacing w:line="360" w:lineRule="auto"/>
        <w:ind w:left="72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时间</w:t>
      </w:r>
      <w:r>
        <w:rPr>
          <w:rFonts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2017年6月9日报到、10日会议</w:t>
      </w:r>
    </w:p>
    <w:p>
      <w:pPr>
        <w:spacing w:line="360" w:lineRule="auto"/>
        <w:ind w:left="72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地点</w:t>
      </w:r>
      <w:r>
        <w:rPr>
          <w:rFonts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南开大学八里台校区（卫津路</w:t>
      </w:r>
      <w:r>
        <w:rPr>
          <w:rFonts w:ascii="楷体" w:hAnsi="楷体" w:eastAsia="楷体" w:cs="楷体"/>
          <w:sz w:val="32"/>
          <w:szCs w:val="32"/>
        </w:rPr>
        <w:t>9</w:t>
      </w:r>
      <w:r>
        <w:rPr>
          <w:rFonts w:hint="eastAsia" w:ascii="楷体" w:hAnsi="楷体" w:eastAsia="楷体" w:cs="楷体"/>
          <w:sz w:val="32"/>
          <w:szCs w:val="32"/>
        </w:rPr>
        <w:t>4号）石先楼二楼报告厅</w:t>
      </w:r>
    </w:p>
    <w:p>
      <w:pPr>
        <w:numPr>
          <w:ilvl w:val="0"/>
          <w:numId w:val="1"/>
        </w:numPr>
        <w:spacing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会务安排</w:t>
      </w:r>
    </w:p>
    <w:p>
      <w:pPr>
        <w:spacing w:line="360" w:lineRule="auto"/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会务组协助安排来访专家本地</w:t>
      </w:r>
      <w:r>
        <w:rPr>
          <w:rFonts w:ascii="楷体" w:hAnsi="楷体" w:eastAsia="楷体" w:cs="楷体"/>
          <w:sz w:val="32"/>
          <w:szCs w:val="32"/>
        </w:rPr>
        <w:t>食宿交通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>
      <w:pPr>
        <w:spacing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五、会务联系人</w:t>
      </w:r>
    </w:p>
    <w:p>
      <w:pPr>
        <w:spacing w:line="360" w:lineRule="auto"/>
        <w:ind w:firstLine="645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赵  斌：13002288729</w:t>
      </w:r>
    </w:p>
    <w:p>
      <w:pPr>
        <w:spacing w:line="360" w:lineRule="auto"/>
        <w:ind w:firstLine="645"/>
        <w:jc w:val="left"/>
        <w:rPr>
          <w:rFonts w:ascii="Calibri" w:hAnsi="Calibri" w:eastAsia="楷体" w:cs="Calibri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师  唯：18602600990</w:t>
      </w:r>
      <w:r>
        <w:rPr>
          <w:rFonts w:ascii="Calibri" w:hAnsi="Calibri" w:eastAsia="楷体" w:cs="Calibri"/>
          <w:sz w:val="32"/>
          <w:szCs w:val="32"/>
        </w:rPr>
        <w:t xml:space="preserve"> </w:t>
      </w:r>
    </w:p>
    <w:p>
      <w:pPr>
        <w:spacing w:line="360" w:lineRule="auto"/>
        <w:ind w:firstLine="645"/>
        <w:jc w:val="left"/>
        <w:rPr>
          <w:rFonts w:hint="eastAsia" w:ascii="Calibri" w:hAnsi="Calibri" w:eastAsia="楷体"/>
          <w:sz w:val="32"/>
          <w:szCs w:val="32"/>
        </w:rPr>
      </w:pPr>
      <w:r>
        <w:rPr>
          <w:rFonts w:hint="eastAsia" w:ascii="Calibri" w:hAnsi="Calibri" w:eastAsia="楷体" w:cs="Calibri"/>
          <w:sz w:val="32"/>
          <w:szCs w:val="32"/>
        </w:rPr>
        <w:t>牛正英</w:t>
      </w:r>
      <w:r>
        <w:rPr>
          <w:rFonts w:ascii="Calibri" w:hAnsi="Calibri" w:eastAsia="楷体" w:cs="Calibri"/>
          <w:sz w:val="32"/>
          <w:szCs w:val="32"/>
        </w:rPr>
        <w:t>：</w:t>
      </w:r>
      <w:r>
        <w:rPr>
          <w:rFonts w:hint="eastAsia" w:ascii="Calibri" w:hAnsi="Calibri" w:eastAsia="楷体" w:cs="Calibri"/>
          <w:sz w:val="32"/>
          <w:szCs w:val="32"/>
        </w:rPr>
        <w:t>15822288276</w:t>
      </w:r>
    </w:p>
    <w:p>
      <w:pPr>
        <w:widowControl/>
        <w:jc w:val="left"/>
        <w:rPr>
          <w:rFonts w:ascii="楷体" w:hAnsi="楷体" w:eastAsia="楷体"/>
          <w:b/>
          <w:bCs/>
          <w:sz w:val="52"/>
          <w:szCs w:val="52"/>
        </w:rPr>
      </w:pPr>
      <w:r>
        <w:rPr>
          <w:rFonts w:ascii="楷体" w:hAnsi="楷体" w:eastAsia="楷体"/>
          <w:b/>
          <w:bCs/>
          <w:sz w:val="52"/>
          <w:szCs w:val="52"/>
        </w:rPr>
        <w:br w:type="page"/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sz w:val="52"/>
          <w:szCs w:val="52"/>
        </w:rPr>
      </w:pPr>
      <w:r>
        <w:rPr>
          <w:rFonts w:hint="eastAsia" w:ascii="楷体" w:hAnsi="楷体" w:eastAsia="楷体" w:cs="楷体"/>
          <w:b/>
          <w:bCs/>
          <w:sz w:val="52"/>
          <w:szCs w:val="52"/>
        </w:rPr>
        <w:t>日程安排</w:t>
      </w:r>
    </w:p>
    <w:tbl>
      <w:tblPr>
        <w:tblStyle w:val="3"/>
        <w:tblW w:w="7418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797"/>
        <w:gridCol w:w="17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0" w:type="dxa"/>
            <w:tcBorders>
              <w:top w:val="double" w:color="auto" w:sz="4" w:space="0"/>
              <w:bottom w:val="sing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楷体_GB2312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32"/>
                <w:szCs w:val="28"/>
              </w:rPr>
              <w:t>时  间</w:t>
            </w:r>
          </w:p>
        </w:tc>
        <w:tc>
          <w:tcPr>
            <w:tcW w:w="3797" w:type="dxa"/>
            <w:tcBorders>
              <w:top w:val="double" w:color="auto" w:sz="4" w:space="0"/>
              <w:bottom w:val="sing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楷体_GB2312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32"/>
                <w:szCs w:val="28"/>
              </w:rPr>
              <w:t>上午会议内容</w:t>
            </w:r>
          </w:p>
        </w:tc>
        <w:tc>
          <w:tcPr>
            <w:tcW w:w="1791" w:type="dxa"/>
            <w:tcBorders>
              <w:top w:val="double" w:color="auto" w:sz="4" w:space="0"/>
              <w:bottom w:val="sing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楷体_GB2312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08:30</w:t>
            </w:r>
            <w:r>
              <w:rPr>
                <w:rFonts w:eastAsia="楷体"/>
                <w:sz w:val="28"/>
                <w:szCs w:val="28"/>
              </w:rPr>
              <w:t>-</w:t>
            </w:r>
            <w:r>
              <w:rPr>
                <w:rFonts w:hint="eastAsia" w:eastAsia="楷体"/>
                <w:sz w:val="28"/>
                <w:szCs w:val="28"/>
              </w:rPr>
              <w:t>08:4</w:t>
            </w:r>
            <w:r>
              <w:rPr>
                <w:rFonts w:eastAsia="楷体"/>
                <w:sz w:val="28"/>
                <w:szCs w:val="28"/>
              </w:rPr>
              <w:t>0</w:t>
            </w:r>
          </w:p>
        </w:tc>
        <w:tc>
          <w:tcPr>
            <w:tcW w:w="37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开幕式</w:t>
            </w:r>
          </w:p>
        </w:tc>
        <w:tc>
          <w:tcPr>
            <w:tcW w:w="17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主持人：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程 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08:40</w:t>
            </w:r>
            <w:r>
              <w:rPr>
                <w:rFonts w:eastAsia="楷体"/>
                <w:sz w:val="28"/>
                <w:szCs w:val="28"/>
              </w:rPr>
              <w:t>-09</w:t>
            </w:r>
            <w:r>
              <w:rPr>
                <w:rFonts w:hint="eastAsia" w:eastAsia="楷体"/>
                <w:sz w:val="28"/>
                <w:szCs w:val="28"/>
              </w:rPr>
              <w:t>:05</w:t>
            </w:r>
          </w:p>
        </w:tc>
        <w:tc>
          <w:tcPr>
            <w:tcW w:w="3797" w:type="dxa"/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李 彦（北京大学）</w:t>
            </w:r>
          </w:p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北京大学化学学院无机化学研究所介绍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主持人：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赵 斌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15分钟报告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10分钟讨论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09:05</w:t>
            </w:r>
            <w:r>
              <w:rPr>
                <w:rFonts w:eastAsia="楷体"/>
                <w:sz w:val="28"/>
                <w:szCs w:val="28"/>
              </w:rPr>
              <w:t>-</w:t>
            </w:r>
            <w:r>
              <w:rPr>
                <w:rFonts w:hint="eastAsia" w:eastAsia="楷体"/>
                <w:sz w:val="28"/>
                <w:szCs w:val="28"/>
              </w:rPr>
              <w:t>09:30</w:t>
            </w:r>
          </w:p>
        </w:tc>
        <w:tc>
          <w:tcPr>
            <w:tcW w:w="3797" w:type="dxa"/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张拥军（南开大学）</w:t>
            </w:r>
          </w:p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微凝胶胶体晶体的组装与应用研究</w:t>
            </w:r>
          </w:p>
        </w:tc>
        <w:tc>
          <w:tcPr>
            <w:tcW w:w="179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09:30</w:t>
            </w:r>
            <w:r>
              <w:rPr>
                <w:rFonts w:eastAsia="楷体"/>
                <w:sz w:val="28"/>
                <w:szCs w:val="28"/>
              </w:rPr>
              <w:t>-</w:t>
            </w:r>
            <w:r>
              <w:rPr>
                <w:rFonts w:hint="eastAsia" w:eastAsia="楷体"/>
                <w:sz w:val="28"/>
                <w:szCs w:val="28"/>
              </w:rPr>
              <w:t>09:55</w:t>
            </w:r>
          </w:p>
        </w:tc>
        <w:tc>
          <w:tcPr>
            <w:tcW w:w="3797" w:type="dxa"/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孙俊良（北京大学）</w:t>
            </w:r>
          </w:p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复杂晶体结构问题解析</w:t>
            </w:r>
          </w:p>
        </w:tc>
        <w:tc>
          <w:tcPr>
            <w:tcW w:w="179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09:55</w:t>
            </w:r>
            <w:r>
              <w:rPr>
                <w:rFonts w:eastAsia="楷体"/>
                <w:sz w:val="28"/>
                <w:szCs w:val="28"/>
              </w:rPr>
              <w:t>-10</w:t>
            </w:r>
            <w:r>
              <w:rPr>
                <w:rFonts w:hint="eastAsia" w:eastAsia="楷体"/>
                <w:sz w:val="28"/>
                <w:szCs w:val="28"/>
              </w:rPr>
              <w:t>:20</w:t>
            </w:r>
          </w:p>
        </w:tc>
        <w:tc>
          <w:tcPr>
            <w:tcW w:w="3797" w:type="dxa"/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程方益（南开大学）</w:t>
            </w:r>
          </w:p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金属氧化物设计制备与电极应用</w:t>
            </w:r>
          </w:p>
        </w:tc>
        <w:tc>
          <w:tcPr>
            <w:tcW w:w="179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10:20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0:30</w:t>
            </w:r>
          </w:p>
        </w:tc>
        <w:tc>
          <w:tcPr>
            <w:tcW w:w="379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休息</w:t>
            </w: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茶歇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10:30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0:55</w:t>
            </w:r>
          </w:p>
        </w:tc>
        <w:tc>
          <w:tcPr>
            <w:tcW w:w="3797" w:type="dxa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赵 斌（南开大学）</w:t>
            </w:r>
          </w:p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南开大学化学学院无机化学学科介绍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主持人：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张亚文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15分钟报告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eastAsia="楷体"/>
                <w:sz w:val="28"/>
                <w:szCs w:val="28"/>
              </w:rPr>
              <w:t>10分钟讨论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10:55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1:20</w:t>
            </w:r>
          </w:p>
        </w:tc>
        <w:tc>
          <w:tcPr>
            <w:tcW w:w="37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王炳武（北京大学）</w:t>
            </w:r>
          </w:p>
          <w:p>
            <w:pPr>
              <w:adjustRightInd w:val="0"/>
              <w:snapToGrid w:val="0"/>
              <w:rPr>
                <w:rFonts w:hint="eastAsia"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稀土和过渡金属分子基磁体的比较研究</w:t>
            </w:r>
          </w:p>
        </w:tc>
        <w:tc>
          <w:tcPr>
            <w:tcW w:w="1791" w:type="dxa"/>
            <w:vMerge w:val="continue"/>
            <w:vAlign w:val="top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11:20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1:45</w:t>
            </w:r>
          </w:p>
        </w:tc>
        <w:tc>
          <w:tcPr>
            <w:tcW w:w="3797" w:type="dxa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师 唯（南开大学）</w:t>
            </w:r>
          </w:p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稀土配合物的合成与光、磁性研究</w:t>
            </w:r>
          </w:p>
        </w:tc>
        <w:tc>
          <w:tcPr>
            <w:tcW w:w="1791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11:45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2:10</w:t>
            </w:r>
          </w:p>
        </w:tc>
        <w:tc>
          <w:tcPr>
            <w:tcW w:w="379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郑 捷（北京大学）</w:t>
            </w:r>
          </w:p>
          <w:p>
            <w:pPr>
              <w:adjustRightInd w:val="0"/>
              <w:snapToGrid w:val="0"/>
              <w:rPr>
                <w:rFonts w:hint="eastAsia"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合金型锂电池负极材料研究</w:t>
            </w:r>
          </w:p>
        </w:tc>
        <w:tc>
          <w:tcPr>
            <w:tcW w:w="1791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12:10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3:10</w:t>
            </w: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午餐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楷体_GB2312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32"/>
                <w:szCs w:val="28"/>
              </w:rPr>
              <w:t>时  间</w:t>
            </w:r>
          </w:p>
        </w:tc>
        <w:tc>
          <w:tcPr>
            <w:tcW w:w="3797" w:type="dxa"/>
            <w:tcBorders>
              <w:top w:val="single" w:color="auto" w:sz="4" w:space="0"/>
              <w:bottom w:val="sing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楷体_GB2312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32"/>
                <w:szCs w:val="28"/>
              </w:rPr>
              <w:t>下午会议内容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楷体_GB2312"/>
                <w:b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楷体_GB2312"/>
                <w:b/>
                <w:bCs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13:10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3:35</w:t>
            </w:r>
          </w:p>
        </w:tc>
        <w:tc>
          <w:tcPr>
            <w:tcW w:w="3797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李维红（北京大学）</w:t>
            </w:r>
          </w:p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北大的化学本科教育</w:t>
            </w:r>
          </w:p>
        </w:tc>
        <w:tc>
          <w:tcPr>
            <w:tcW w:w="179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主持人：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王颖霞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15分钟报告</w:t>
            </w:r>
          </w:p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10分钟讨论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13:35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4:00</w:t>
            </w:r>
          </w:p>
        </w:tc>
        <w:tc>
          <w:tcPr>
            <w:tcW w:w="37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牛志强（南开大学）</w:t>
            </w:r>
          </w:p>
          <w:p>
            <w:pPr>
              <w:adjustRightInd w:val="0"/>
              <w:snapToGrid w:val="0"/>
              <w:rPr>
                <w:rFonts w:hint="eastAsia"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先进碳纳米材料与非传统储能器件</w:t>
            </w:r>
          </w:p>
        </w:tc>
        <w:tc>
          <w:tcPr>
            <w:tcW w:w="17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14:00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4:25</w:t>
            </w:r>
          </w:p>
        </w:tc>
        <w:tc>
          <w:tcPr>
            <w:tcW w:w="3797" w:type="dxa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张振杰（南开大学）</w:t>
            </w:r>
          </w:p>
          <w:p>
            <w:pPr>
              <w:tabs>
                <w:tab w:val="left" w:pos="833"/>
              </w:tabs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构筑高结晶性的高分子金属配合物</w:t>
            </w:r>
          </w:p>
        </w:tc>
        <w:tc>
          <w:tcPr>
            <w:tcW w:w="17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14:25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4:35</w:t>
            </w:r>
          </w:p>
        </w:tc>
        <w:tc>
          <w:tcPr>
            <w:tcW w:w="37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休息</w:t>
            </w:r>
          </w:p>
        </w:tc>
        <w:tc>
          <w:tcPr>
            <w:tcW w:w="1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茶歇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14:35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5:00</w:t>
            </w:r>
          </w:p>
        </w:tc>
        <w:tc>
          <w:tcPr>
            <w:tcW w:w="3797" w:type="dxa"/>
            <w:vAlign w:val="center"/>
          </w:tcPr>
          <w:p>
            <w:pPr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常 泽（南开</w:t>
            </w:r>
            <w:r>
              <w:rPr>
                <w:rFonts w:eastAsia="楷体"/>
                <w:sz w:val="28"/>
                <w:szCs w:val="28"/>
              </w:rPr>
              <w:t>大学</w:t>
            </w:r>
            <w:r>
              <w:rPr>
                <w:rFonts w:hint="eastAsia" w:eastAsia="楷体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新型动态金属有机框架材料的构筑与性能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主持人：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 xml:space="preserve"> 程方益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15分钟报告</w:t>
            </w:r>
          </w:p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10分钟讨论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15:00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5:25</w:t>
            </w:r>
          </w:p>
        </w:tc>
        <w:tc>
          <w:tcPr>
            <w:tcW w:w="3797" w:type="dxa"/>
            <w:vAlign w:val="center"/>
          </w:tcPr>
          <w:p>
            <w:pPr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杨 娟（北京大学）</w:t>
            </w:r>
          </w:p>
          <w:p>
            <w:pPr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单根单壁碳纳米管的拉曼光谱研究</w:t>
            </w:r>
          </w:p>
        </w:tc>
        <w:tc>
          <w:tcPr>
            <w:tcW w:w="17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15:25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5:50</w:t>
            </w:r>
          </w:p>
        </w:tc>
        <w:tc>
          <w:tcPr>
            <w:tcW w:w="3797" w:type="dxa"/>
            <w:vAlign w:val="center"/>
          </w:tcPr>
          <w:p>
            <w:pPr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报告人</w:t>
            </w:r>
            <w:r>
              <w:rPr>
                <w:rFonts w:eastAsia="楷体"/>
                <w:sz w:val="28"/>
                <w:szCs w:val="28"/>
              </w:rPr>
              <w:t>：</w:t>
            </w:r>
            <w:r>
              <w:rPr>
                <w:rFonts w:hint="eastAsia" w:eastAsia="楷体"/>
                <w:sz w:val="28"/>
                <w:szCs w:val="28"/>
              </w:rPr>
              <w:t>刘志伟（北京大学）</w:t>
            </w:r>
          </w:p>
          <w:p>
            <w:pPr>
              <w:adjustRightInd w:val="0"/>
              <w:snapToGrid w:val="0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亚铜配合物光电功能材料与器件</w:t>
            </w:r>
          </w:p>
        </w:tc>
        <w:tc>
          <w:tcPr>
            <w:tcW w:w="17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15:50</w:t>
            </w:r>
            <w:r>
              <w:rPr>
                <w:rFonts w:eastAsia="楷体"/>
                <w:sz w:val="28"/>
                <w:szCs w:val="28"/>
              </w:rPr>
              <w:t>-1</w:t>
            </w:r>
            <w:r>
              <w:rPr>
                <w:rFonts w:hint="eastAsia" w:eastAsia="楷体"/>
                <w:sz w:val="28"/>
                <w:szCs w:val="28"/>
              </w:rPr>
              <w:t>7:30</w:t>
            </w:r>
          </w:p>
        </w:tc>
        <w:tc>
          <w:tcPr>
            <w:tcW w:w="379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讨论／闭幕式</w:t>
            </w:r>
          </w:p>
        </w:tc>
        <w:tc>
          <w:tcPr>
            <w:tcW w:w="179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主持人：</w:t>
            </w:r>
          </w:p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程 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0" w:type="dxa"/>
            <w:tcBorders>
              <w:top w:val="single" w:color="auto" w:sz="4" w:space="0"/>
              <w:bottom w:val="doub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17:30-19</w:t>
            </w:r>
            <w:r>
              <w:rPr>
                <w:rFonts w:eastAsia="楷体"/>
                <w:sz w:val="28"/>
                <w:szCs w:val="28"/>
              </w:rPr>
              <w:t>:</w:t>
            </w:r>
            <w:r>
              <w:rPr>
                <w:rFonts w:hint="eastAsia" w:eastAsia="楷体"/>
                <w:sz w:val="28"/>
                <w:szCs w:val="28"/>
              </w:rPr>
              <w:t>30</w:t>
            </w:r>
          </w:p>
        </w:tc>
        <w:tc>
          <w:tcPr>
            <w:tcW w:w="3797" w:type="dxa"/>
            <w:tcBorders>
              <w:top w:val="single" w:color="auto" w:sz="4" w:space="0"/>
              <w:bottom w:val="double" w:color="auto" w:sz="4" w:space="0"/>
            </w:tcBorders>
            <w:shd w:val="clear" w:color="auto" w:fill="00FD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晚餐</w:t>
            </w:r>
          </w:p>
        </w:tc>
        <w:tc>
          <w:tcPr>
            <w:tcW w:w="1791" w:type="dxa"/>
            <w:tcBorders>
              <w:top w:val="single" w:color="auto" w:sz="4" w:space="0"/>
              <w:bottom w:val="double" w:color="auto" w:sz="4" w:space="0"/>
            </w:tcBorders>
            <w:shd w:val="clear" w:color="auto" w:fill="00FDFF"/>
            <w:vAlign w:val="center"/>
          </w:tcPr>
          <w:p>
            <w:pPr>
              <w:tabs>
                <w:tab w:val="left" w:pos="833"/>
              </w:tabs>
              <w:adjustRightInd w:val="0"/>
              <w:snapToGrid w:val="0"/>
              <w:jc w:val="center"/>
              <w:rPr>
                <w:rFonts w:hint="eastAsia" w:eastAsia="楷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B-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GB32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2B3A"/>
    <w:multiLevelType w:val="multilevel"/>
    <w:tmpl w:val="22AB2B3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36875"/>
    <w:rsid w:val="098368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2017-06-08T07:33:00Z</dcterms:created>
  <dc:creator>Dell</dc:creator>
  <cp:lastModifiedBy>Dell</cp:lastModifiedBy>
  <dcterms:modified xsi:type="dcterms:W3CDTF">2017-06-08T07:34:21Z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